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10A56F03" w14:textId="77777777" w:rsidR="003725EA" w:rsidRPr="001273C8" w:rsidRDefault="003725EA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273C8">
        <w:rPr>
          <w:rFonts w:ascii="Times New Roman" w:hAnsi="Times New Roman" w:cs="Times New Roman"/>
          <w:sz w:val="20"/>
          <w:szCs w:val="20"/>
        </w:rPr>
        <w:t xml:space="preserve">Приложение № 1 к Регламенту </w:t>
      </w:r>
    </w:p>
    <w:p w14:paraId="35A079CB" w14:textId="77777777" w:rsidR="003725EA" w:rsidRPr="001273C8" w:rsidRDefault="003725EA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273C8">
        <w:rPr>
          <w:rFonts w:ascii="Times New Roman" w:hAnsi="Times New Roman" w:cs="Times New Roman"/>
          <w:sz w:val="20"/>
          <w:szCs w:val="20"/>
        </w:rPr>
        <w:t>по рассмотрению проектов</w:t>
      </w:r>
    </w:p>
    <w:p w14:paraId="686D20F5" w14:textId="77777777" w:rsidR="003725EA" w:rsidRPr="001273C8" w:rsidRDefault="003725EA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964A65" w14:textId="77777777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1-1 / 1-2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 № 2-1 / 2-2 к настоящему Регламенту.</w:t>
      </w:r>
    </w:p>
    <w:p w14:paraId="2378281A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551D4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(для юридических лиц дополнительно предоставляется аналогичные согласия участников/акционеров Заявителя, имеющих долю более 10%)</w:t>
      </w:r>
    </w:p>
    <w:p w14:paraId="53A72172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14:paraId="4DBAEE80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минимальный пакет документов: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11D2B" w:rsidRPr="009551D4" w14:paraId="46AC4533" w14:textId="77777777" w:rsidTr="00A11D2B">
        <w:trPr>
          <w:trHeight w:val="40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A6819A3" w14:textId="77777777" w:rsidR="00A11D2B" w:rsidRPr="009551D4" w:rsidRDefault="00A11D2B" w:rsidP="00A11D2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 для Заявителей - юридических лиц (обязательный пакет)</w:t>
            </w:r>
          </w:p>
        </w:tc>
      </w:tr>
      <w:tr w:rsidR="00A11D2B" w:rsidRPr="009551D4" w14:paraId="3C35BFA7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59E79E3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1" w:type="dxa"/>
            <w:shd w:val="clear" w:color="auto" w:fill="auto"/>
          </w:tcPr>
          <w:p w14:paraId="25AD013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79146A0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1-4/1-5 к настоящему Перечню</w:t>
            </w:r>
          </w:p>
        </w:tc>
        <w:tc>
          <w:tcPr>
            <w:tcW w:w="1701" w:type="dxa"/>
            <w:shd w:val="clear" w:color="auto" w:fill="auto"/>
          </w:tcPr>
          <w:p w14:paraId="1F348096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копия с оригинала</w:t>
            </w:r>
          </w:p>
        </w:tc>
      </w:tr>
      <w:tr w:rsidR="00A11D2B" w:rsidRPr="009551D4" w14:paraId="69EC3B68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506363E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1" w:type="dxa"/>
            <w:shd w:val="clear" w:color="auto" w:fill="auto"/>
          </w:tcPr>
          <w:p w14:paraId="0A5BDACB" w14:textId="62639D59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CE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ранее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(одного) месяца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14:paraId="00E5516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786F891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/бумажная копия электронного документа, подписанного ЭЦП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D2B" w:rsidRPr="009551D4" w14:paraId="0B70607B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26B005BC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1" w:type="dxa"/>
            <w:shd w:val="clear" w:color="auto" w:fill="auto"/>
          </w:tcPr>
          <w:p w14:paraId="49D8C7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Устав со всеми изменениями и дополнениями. </w:t>
            </w:r>
          </w:p>
          <w:p w14:paraId="1C7AA5A4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14:paraId="2831568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14:paraId="07D22E2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14:paraId="25403F5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14:paraId="2CCBC66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14:paraId="20871B50" w14:textId="77777777" w:rsidR="00A11D2B" w:rsidRPr="009551D4" w:rsidRDefault="00A11D2B" w:rsidP="00E53A5B">
            <w:pPr>
              <w:widowControl w:val="0"/>
              <w:tabs>
                <w:tab w:val="left" w:pos="289"/>
              </w:tabs>
              <w:adjustRightInd w:val="0"/>
              <w:spacing w:after="0" w:line="240" w:lineRule="auto"/>
              <w:ind w:left="5" w:hanging="5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или нотариально удостоверенное письменное подтверждение отсутствия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претензии/притязании со стороны отчуждателя доли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2F80E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</w:t>
            </w:r>
            <w:r w:rsidRPr="009551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A11D2B" w:rsidRPr="009551D4" w14:paraId="525C9626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1320441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051" w:type="dxa"/>
            <w:shd w:val="clear" w:color="auto" w:fill="auto"/>
          </w:tcPr>
          <w:p w14:paraId="26DA2CF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1AFB192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подписывать документы либо принимающего решения от имени юридического/физического лица;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E00D3D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70CAF34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34E402C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14:paraId="2A4A415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14:paraId="7DB8716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14:paraId="27E45ADC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14:paraId="7E7E71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701" w:type="dxa"/>
            <w:shd w:val="clear" w:color="auto" w:fill="auto"/>
          </w:tcPr>
          <w:p w14:paraId="53E5804A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6778601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либо электронные копии</w:t>
            </w:r>
          </w:p>
        </w:tc>
      </w:tr>
      <w:tr w:rsidR="00A11D2B" w:rsidRPr="009551D4" w14:paraId="04A4AF5C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4F91C1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051" w:type="dxa"/>
            <w:shd w:val="clear" w:color="auto" w:fill="auto"/>
          </w:tcPr>
          <w:p w14:paraId="23B6F0C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C40B18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14:paraId="18E765B5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 Заявитель вправе составить финансовую отчетность согласно формам по приложениям № 4-1, 4-2, 4-3, 4-4, 4-5 к настоящему Регламенту.</w:t>
            </w:r>
          </w:p>
          <w:p w14:paraId="0035862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701" w:type="dxa"/>
            <w:shd w:val="clear" w:color="auto" w:fill="auto"/>
          </w:tcPr>
          <w:p w14:paraId="206959B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 копия с оригинала</w:t>
            </w:r>
          </w:p>
        </w:tc>
      </w:tr>
    </w:tbl>
    <w:p w14:paraId="6465A64E" w14:textId="77777777"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14:paraId="2AA9E1D8" w14:textId="77777777"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1F2DD9" w:rsidRPr="009551D4" w14:paraId="2CF34975" w14:textId="77777777" w:rsidTr="001F2DD9">
        <w:trPr>
          <w:trHeight w:val="24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83AC" w14:textId="77777777" w:rsidR="001F2DD9" w:rsidRPr="009551D4" w:rsidRDefault="001F2DD9" w:rsidP="0083058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 для физических лиц – ИП/КХ/ФХ (обязательный пакет)</w:t>
            </w:r>
          </w:p>
        </w:tc>
      </w:tr>
      <w:tr w:rsidR="001F2DD9" w:rsidRPr="009551D4" w14:paraId="353C6034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0C55DD88" w14:textId="77777777" w:rsidR="001F2DD9" w:rsidRPr="009551D4" w:rsidRDefault="001F2DD9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80" w:type="dxa"/>
            <w:shd w:val="clear" w:color="auto" w:fill="auto"/>
          </w:tcPr>
          <w:p w14:paraId="55205D95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55B2F94A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Заявитель заполняет форму, согласно приложения № 1-4/1-5 к настоящему Перечню </w:t>
            </w:r>
          </w:p>
        </w:tc>
        <w:tc>
          <w:tcPr>
            <w:tcW w:w="1701" w:type="dxa"/>
            <w:shd w:val="clear" w:color="auto" w:fill="auto"/>
          </w:tcPr>
          <w:p w14:paraId="4E1275C2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1F2DD9" w:rsidRPr="009551D4" w14:paraId="2D28F657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84384BA" w14:textId="77777777" w:rsidR="001F2DD9" w:rsidRPr="009551D4" w:rsidRDefault="001F2DD9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80" w:type="dxa"/>
            <w:shd w:val="clear" w:color="auto" w:fill="auto"/>
          </w:tcPr>
          <w:p w14:paraId="0147CB9C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задолженности, 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ранее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(одного) месяца до даты подачи заявления</w:t>
            </w:r>
          </w:p>
          <w:p w14:paraId="3A5AD2B3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4951EB41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копия электронного документа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подписанного ЭЦП</w:t>
            </w:r>
          </w:p>
          <w:p w14:paraId="66BAF3D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DD9" w:rsidRPr="009551D4" w14:paraId="5C1D5133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177F37C8" w14:textId="77777777" w:rsidR="001F2DD9" w:rsidRPr="009551D4" w:rsidRDefault="001F2DD9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80" w:type="dxa"/>
            <w:shd w:val="clear" w:color="auto" w:fill="auto"/>
          </w:tcPr>
          <w:p w14:paraId="068BB4C6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A2BD7D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КХ создано в форме совместного предпринимательства (предпринимательство супругов, семейное предпринимательство),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lastRenderedPageBreak/>
              <w:t xml:space="preserve">фермерское хозяйство в форме простого товарищества -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4C28A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сведения о составе членов КХ/ФХ предоставленные уполномоченным государственным органом;</w:t>
            </w:r>
          </w:p>
          <w:p w14:paraId="42C1142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14:paraId="042F8C9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договор о совместной деятельности </w:t>
            </w:r>
          </w:p>
          <w:p w14:paraId="2F32387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его имени</w:t>
            </w:r>
          </w:p>
        </w:tc>
        <w:tc>
          <w:tcPr>
            <w:tcW w:w="1701" w:type="dxa"/>
            <w:shd w:val="clear" w:color="auto" w:fill="auto"/>
          </w:tcPr>
          <w:p w14:paraId="34AC96A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9551D4"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либо электронные копии </w:t>
            </w:r>
          </w:p>
        </w:tc>
      </w:tr>
      <w:tr w:rsidR="001F2DD9" w:rsidRPr="009551D4" w14:paraId="2C77173B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BC0F002" w14:textId="77777777" w:rsidR="001F2DD9" w:rsidRPr="009551D4" w:rsidRDefault="001F2DD9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080" w:type="dxa"/>
            <w:shd w:val="clear" w:color="auto" w:fill="auto"/>
          </w:tcPr>
          <w:p w14:paraId="63C47ECD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Документ, удостоверяющий личность главы КХ (индивидуального предпринимателя) </w:t>
            </w:r>
          </w:p>
          <w:p w14:paraId="044164E7" w14:textId="77777777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К(Ф)Х выступает в форме совместного предпринимательства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дополнительно предоставляется:</w:t>
            </w:r>
          </w:p>
          <w:p w14:paraId="5BC8B102" w14:textId="77777777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документ, подтверждающий избрание/назначение Главы К(Ф)Х</w:t>
            </w:r>
          </w:p>
        </w:tc>
        <w:tc>
          <w:tcPr>
            <w:tcW w:w="1701" w:type="dxa"/>
            <w:shd w:val="clear" w:color="auto" w:fill="auto"/>
          </w:tcPr>
          <w:p w14:paraId="3D3B7151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1F2DD9" w:rsidRPr="009551D4" w14:paraId="7AFA708D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FC2EE00" w14:textId="77777777" w:rsidR="001F2DD9" w:rsidRPr="009551D4" w:rsidRDefault="001F2DD9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80" w:type="dxa"/>
            <w:shd w:val="clear" w:color="auto" w:fill="auto"/>
          </w:tcPr>
          <w:p w14:paraId="24315F5A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заявления), либо финансовая отчетность за аналогичный период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10%, согласно сегментации (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приведена ниже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  <w:p w14:paraId="1523C229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Заявитель вправе составить финансовую отчетность согласно формам по приложениям № 4-1, 4-2, 4-3, 4-4, 4-5 к настоящему Регламенту.</w:t>
            </w:r>
          </w:p>
        </w:tc>
        <w:tc>
          <w:tcPr>
            <w:tcW w:w="1701" w:type="dxa"/>
            <w:shd w:val="clear" w:color="auto" w:fill="auto"/>
          </w:tcPr>
          <w:p w14:paraId="17DC56C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Оригинал либо электронные копии с оригинала </w:t>
            </w:r>
          </w:p>
        </w:tc>
      </w:tr>
    </w:tbl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При возникновении нижеприведённых соответствующих фактов </w:t>
            </w:r>
          </w:p>
          <w:p w14:paraId="6BDB2830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 (дополнительный пакет)*:</w:t>
            </w:r>
          </w:p>
        </w:tc>
      </w:tr>
      <w:tr w:rsidR="00A8559D" w:rsidRPr="009551D4" w14:paraId="14592EEB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4302A9D8" w14:textId="77777777" w:rsidR="00A8559D" w:rsidRPr="009551D4" w:rsidRDefault="00A8559D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C69AEDC" w14:textId="77777777" w:rsidR="00A8559D" w:rsidRPr="009551D4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9FE42FE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2C761968" w14:textId="77777777" w:rsidR="00A8559D" w:rsidRPr="00595275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051" w:type="dxa"/>
            <w:shd w:val="clear" w:color="auto" w:fill="auto"/>
          </w:tcPr>
          <w:p w14:paraId="49B96A52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заявляемый Поставщик ранее не сотрудничал с Обществом или последнее сотрудничество с Обществом было ранее 1 года:</w:t>
            </w: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6930A6D3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- анкета поставщика по форме (Приложение № 5 к настоящему Регламенту).</w:t>
            </w:r>
          </w:p>
          <w:p w14:paraId="0A7CE118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*В</w:t>
            </w:r>
            <w:r w:rsidRPr="005952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случае если проектом предусматривается лизинг технологического оборудования, предоставляются </w:t>
            </w: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альтернативные коммерческие предложения на оборудование тождественной комплектации (согласно техническому заданию заявителя) не менее чем от 2-х поставщиков.</w:t>
            </w:r>
          </w:p>
        </w:tc>
        <w:tc>
          <w:tcPr>
            <w:tcW w:w="1701" w:type="dxa"/>
            <w:shd w:val="clear" w:color="auto" w:fill="auto"/>
          </w:tcPr>
          <w:p w14:paraId="73D41388" w14:textId="77777777" w:rsidR="00A8559D" w:rsidRPr="00595275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8508F80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1A5CC40C" w14:textId="56A036D3" w:rsidR="00A8559D" w:rsidRPr="00595275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051" w:type="dxa"/>
            <w:shd w:val="clear" w:color="auto" w:fill="auto"/>
          </w:tcPr>
          <w:p w14:paraId="73D9B58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юридических лиц, имеющих долю в уставном капитале более 10% предоставляются: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документы, указанные в пунктах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1.3., 1.4.,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настоящего приложения, а также согласия в кредитное бюро. </w:t>
            </w:r>
          </w:p>
          <w:p w14:paraId="02170772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копии документов, удостоверяющих личность.  </w:t>
            </w:r>
          </w:p>
          <w:p w14:paraId="48854175" w14:textId="77777777" w:rsidR="00A8559D" w:rsidRPr="009551D4" w:rsidRDefault="00A8559D" w:rsidP="00E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51D4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Данное требование </w:t>
            </w:r>
            <w:r w:rsidRPr="009551D4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выполняется до определения конечного бенефициара (собственника) Заявителя</w:t>
            </w:r>
            <w:r w:rsidRPr="009551D4">
              <w:rPr>
                <w:rFonts w:ascii="Segoe UI" w:hAnsi="Segoe UI" w:cs="Segoe UI"/>
                <w:i/>
                <w:sz w:val="20"/>
                <w:szCs w:val="20"/>
                <w:lang w:eastAsia="ru-RU"/>
              </w:rPr>
              <w:t xml:space="preserve">. </w:t>
            </w:r>
          </w:p>
          <w:p w14:paraId="3B2D0351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8E514CA" w14:textId="77777777" w:rsidR="00A8559D" w:rsidRPr="009551D4" w:rsidRDefault="00A8559D" w:rsidP="00E53A5B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701" w:type="dxa"/>
            <w:shd w:val="clear" w:color="auto" w:fill="auto"/>
          </w:tcPr>
          <w:p w14:paraId="175B657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28CE3C4F" w:rsidR="00A8559D" w:rsidRPr="00595275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200DF58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1.5., 2.3., 2.5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4E298549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0FD1406F" w14:textId="77777777" w:rsidR="00A8559D" w:rsidRPr="00595275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051" w:type="dxa"/>
            <w:shd w:val="clear" w:color="auto" w:fill="auto"/>
          </w:tcPr>
          <w:p w14:paraId="1B965BA9" w14:textId="77777777" w:rsidR="00E2727D" w:rsidRPr="00E2727D" w:rsidRDefault="00E2727D" w:rsidP="00E2727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2727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Если проектом предусмотрены Залогодатель/Гарант/Поручитель/Созаемщик: </w:t>
            </w:r>
          </w:p>
          <w:p w14:paraId="7247180A" w14:textId="77777777" w:rsidR="00E2727D" w:rsidRPr="00E2727D" w:rsidRDefault="00E2727D" w:rsidP="00E2727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Юридические лица: предоставляются документы, указанные в пунктах 1.2., 1.3., 1.4., 1.5. настоящего приложения, </w:t>
            </w: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а также согласия на выдачу кредитного отчета из кредитного бюро и предоставление информации о них в кредитные бюро</w:t>
            </w: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9B6D394" w14:textId="2C7239EF" w:rsidR="00A8559D" w:rsidRPr="00595275" w:rsidRDefault="00E2727D" w:rsidP="00E2727D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Физические лица - ИП/КХ/ФХ: предоставляются до</w:t>
            </w:r>
            <w:bookmarkStart w:id="0" w:name="_GoBack"/>
            <w:bookmarkEnd w:id="0"/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кументы, указанные в пунктах 2.2., 2.3., 2.4., 2.5. настоящего приложения, также документ удостоверяющий личность, документ удостоверяющий личность супруга/супруги (при наличии), свидетельство о заключении брака (при наличии), </w:t>
            </w: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а также согласия на выдачу кредитного отчета из кредитного бюро и предоставление информации о них в кредитные бюро</w:t>
            </w:r>
            <w:r w:rsidRPr="00E272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8559D" w:rsidRPr="0059527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5DF9A26" w14:textId="77777777" w:rsidR="00A8559D" w:rsidRPr="00FA001B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3651EBC" w14:textId="77777777" w:rsidTr="00A8559D">
        <w:trPr>
          <w:trHeight w:val="2308"/>
        </w:trPr>
        <w:tc>
          <w:tcPr>
            <w:tcW w:w="738" w:type="dxa"/>
            <w:shd w:val="clear" w:color="auto" w:fill="auto"/>
          </w:tcPr>
          <w:p w14:paraId="29EB276C" w14:textId="77777777" w:rsidR="00A8559D" w:rsidRPr="009551D4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051" w:type="dxa"/>
            <w:shd w:val="clear" w:color="auto" w:fill="auto"/>
          </w:tcPr>
          <w:p w14:paraId="3D543546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Заявителя/Залогодателя/Гаранта/Поручителя /Созаемщика участников иностранных юридических лиц предоставляются документы, указанные в пунктах 1.4., 1.5., настоящего приложения.  </w:t>
            </w:r>
          </w:p>
          <w:p w14:paraId="628C8C81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При этом, обязательным требованием для данных лиц является:</w:t>
            </w:r>
          </w:p>
          <w:p w14:paraId="44F7150B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апостиль предоставляемых документов (при необходимости);</w:t>
            </w:r>
          </w:p>
          <w:p w14:paraId="55EF1B37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нотариально удостоверенный перевод предоставляемых документов;</w:t>
            </w:r>
          </w:p>
          <w:p w14:paraId="50F3ED1D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- финансовая отчетность, заверенная аудитором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(при наличии)</w:t>
            </w:r>
          </w:p>
          <w:p w14:paraId="38DC4D19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701" w:type="dxa"/>
            <w:shd w:val="clear" w:color="auto" w:fill="auto"/>
          </w:tcPr>
          <w:p w14:paraId="7686909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77777777" w:rsidR="00A8559D" w:rsidRPr="00595275" w:rsidRDefault="00A8559D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lastRenderedPageBreak/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29941018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  <w:p w14:paraId="303A440F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539"/>
              <w:gridCol w:w="2351"/>
              <w:gridCol w:w="3886"/>
            </w:tblGrid>
            <w:tr w:rsidR="00A8559D" w:rsidRPr="009551D4" w14:paraId="55010657" w14:textId="77777777" w:rsidTr="00A8559D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14:paraId="4651B709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539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14:paraId="47E7A7F7" w14:textId="508AE51C" w:rsidR="00A8559D" w:rsidRPr="009551D4" w:rsidRDefault="00A8559D" w:rsidP="00A85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Критерий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</w:p>
                <w:p w14:paraId="1D238473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69D01D2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14:paraId="005BD186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Среднегодовая доходность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886" w:type="dxa"/>
                  <w:shd w:val="clear" w:color="auto" w:fill="DEEAF6"/>
                  <w:vAlign w:val="center"/>
                </w:tcPr>
                <w:p w14:paraId="5D81BB73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Режим налогообложения</w:t>
                  </w:r>
                </w:p>
              </w:tc>
            </w:tr>
            <w:tr w:rsidR="00A8559D" w:rsidRPr="009551D4" w14:paraId="09E6CCFB" w14:textId="77777777" w:rsidTr="00A8559D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235D1E7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46673D95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1B2625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Менее 30 000 </w:t>
                  </w: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3374261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Патент, упрощенный налоговый режим</w:t>
                  </w:r>
                </w:p>
              </w:tc>
            </w:tr>
            <w:tr w:rsidR="00A8559D" w:rsidRPr="009551D4" w14:paraId="1B259E20" w14:textId="77777777" w:rsidTr="00A8559D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76526444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51DD6F8D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70D4EF6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Свыше 30 000 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149B0BEF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14:paraId="0D300459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14:paraId="06239231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A8559D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E4452F2" w14:textId="77777777" w:rsidR="003F430E" w:rsidRDefault="003F430E" w:rsidP="003F430E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</w:p>
    <w:p w14:paraId="4E2EEEF2" w14:textId="77777777" w:rsidR="005E1F2A" w:rsidRPr="002154B4" w:rsidRDefault="00763DBA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1F2A" w:rsidRPr="002154B4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156B" w14:textId="77777777" w:rsidR="00EE3F2F" w:rsidRDefault="00EE3F2F" w:rsidP="00AA1D9F">
      <w:pPr>
        <w:spacing w:after="0" w:line="240" w:lineRule="auto"/>
      </w:pPr>
      <w:r>
        <w:separator/>
      </w:r>
    </w:p>
  </w:endnote>
  <w:endnote w:type="continuationSeparator" w:id="0">
    <w:p w14:paraId="186C91D3" w14:textId="77777777" w:rsidR="00EE3F2F" w:rsidRDefault="00EE3F2F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C044" w14:textId="77777777" w:rsidR="00EE3F2F" w:rsidRDefault="00EE3F2F" w:rsidP="00AA1D9F">
      <w:pPr>
        <w:spacing w:after="0" w:line="240" w:lineRule="auto"/>
      </w:pPr>
      <w:r>
        <w:separator/>
      </w:r>
    </w:p>
  </w:footnote>
  <w:footnote w:type="continuationSeparator" w:id="0">
    <w:p w14:paraId="5BF81CEA" w14:textId="77777777" w:rsidR="00EE3F2F" w:rsidRDefault="00EE3F2F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1"/>
  </w:num>
  <w:num w:numId="22">
    <w:abstractNumId w:val="6"/>
  </w:num>
  <w:num w:numId="23">
    <w:abstractNumId w:val="18"/>
  </w:num>
  <w:num w:numId="24">
    <w:abstractNumId w:val="25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431F3"/>
    <w:rsid w:val="00247CDD"/>
    <w:rsid w:val="00250CEC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40A00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54A81"/>
    <w:rsid w:val="008607F2"/>
    <w:rsid w:val="008620F2"/>
    <w:rsid w:val="00862905"/>
    <w:rsid w:val="00867740"/>
    <w:rsid w:val="00871B5B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196A"/>
    <w:rsid w:val="00905BB7"/>
    <w:rsid w:val="00905F21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9418D"/>
    <w:rsid w:val="00BA49F1"/>
    <w:rsid w:val="00BA4F8D"/>
    <w:rsid w:val="00BB6FA2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6903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8D29-31C8-464B-A6DD-ADF692F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69</cp:revision>
  <cp:lastPrinted>2019-04-12T09:31:00Z</cp:lastPrinted>
  <dcterms:created xsi:type="dcterms:W3CDTF">2020-05-27T05:19:00Z</dcterms:created>
  <dcterms:modified xsi:type="dcterms:W3CDTF">2023-02-02T05:36:00Z</dcterms:modified>
</cp:coreProperties>
</file>